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72245" w14:textId="3633666E" w:rsidR="003C240B" w:rsidRDefault="001F3125" w:rsidP="003C240B">
      <w:pPr>
        <w:pStyle w:val="Heading1"/>
      </w:pPr>
      <w:r>
        <w:t>Plan de travail 2025-2026 – Conformément au protocole d’entente entre la Régie Canada–Terre-Neuve-et-Labrador de l’énergie extracôtière et Pêches et Océans Canada</w:t>
      </w:r>
    </w:p>
    <w:p w14:paraId="67DFC441" w14:textId="28BF7AB0" w:rsidR="003C240B" w:rsidRDefault="001F3125" w:rsidP="003C240B">
      <w:r>
        <w:t>Avril 2025</w:t>
      </w:r>
    </w:p>
    <w:p w14:paraId="0E78D98B" w14:textId="71D9495B" w:rsidR="003C240B" w:rsidRDefault="003C240B" w:rsidP="003C240B">
      <w:pPr>
        <w:pStyle w:val="Heading2"/>
      </w:pPr>
      <w:r>
        <w:t>Contexte</w:t>
      </w:r>
    </w:p>
    <w:p w14:paraId="0A22BAFD" w14:textId="67600092" w:rsidR="003C240B" w:rsidRDefault="003C240B" w:rsidP="003C240B">
      <w:r>
        <w:t xml:space="preserve">La Régie Canada–Terre-Neuve-et-Labrador de l’énergie extracôtière (RC-TNLEE) réglemente les activités pétrolières dans la zone extracôtière Canada-Terre-Neuve-et-Labrador (T.-N.-L.). Elle est assujettie aux Accords atlantiques et aux lois de mise en œuvre de l’Accord atlantique, qui constituent la principale législation régissant la zone extracôtière Canada–Terre-Neuve-et-Labrador. </w:t>
      </w:r>
    </w:p>
    <w:p w14:paraId="608AA1CE" w14:textId="47A41DCC" w:rsidR="003C240B" w:rsidRDefault="003C240B" w:rsidP="003C240B">
      <w:r>
        <w:t xml:space="preserve">Pêches et océans Canada (MPO) gère les pêches et protège les eaux du Canada. Trois textes législatifs essentiels appuient le travail du MPO : la </w:t>
      </w:r>
      <w:r>
        <w:rPr>
          <w:i/>
          <w:iCs/>
        </w:rPr>
        <w:t>Loi sur les pêches</w:t>
      </w:r>
      <w:r>
        <w:t xml:space="preserve">, la </w:t>
      </w:r>
      <w:r>
        <w:rPr>
          <w:i/>
          <w:iCs/>
        </w:rPr>
        <w:t>Loi sur les espèces en péril</w:t>
      </w:r>
      <w:r>
        <w:t xml:space="preserve"> (LEP) et la </w:t>
      </w:r>
      <w:r>
        <w:rPr>
          <w:i/>
          <w:iCs/>
        </w:rPr>
        <w:t>Loi sur les océans</w:t>
      </w:r>
      <w:r>
        <w:t xml:space="preserve">. </w:t>
      </w:r>
    </w:p>
    <w:p w14:paraId="3E2A6735" w14:textId="20E8BC04" w:rsidR="003C240B" w:rsidRDefault="003C240B" w:rsidP="003C240B">
      <w:r>
        <w:t xml:space="preserve">L’article 46 de la </w:t>
      </w:r>
      <w:r>
        <w:rPr>
          <w:i/>
          <w:iCs/>
        </w:rPr>
        <w:t>Loi de mise en œuvre de l’Accord atlantique Canada–Terre-Neuve-et-Labrador</w:t>
      </w:r>
      <w:r>
        <w:t xml:space="preserve"> (1987) et l’article 46 de la </w:t>
      </w:r>
      <w:r>
        <w:rPr>
          <w:i/>
          <w:iCs/>
        </w:rPr>
        <w:t xml:space="preserve">Canada-Newfoundland and Labrador Atlantic Accord </w:t>
      </w:r>
      <w:proofErr w:type="spellStart"/>
      <w:r>
        <w:rPr>
          <w:i/>
          <w:iCs/>
        </w:rPr>
        <w:t>Implementation</w:t>
      </w:r>
      <w:proofErr w:type="spellEnd"/>
      <w:r>
        <w:rPr>
          <w:i/>
          <w:iCs/>
        </w:rPr>
        <w:t xml:space="preserve"> Newfoundland and Labrador </w:t>
      </w:r>
      <w:proofErr w:type="spellStart"/>
      <w:r>
        <w:rPr>
          <w:i/>
          <w:iCs/>
        </w:rPr>
        <w:t>Act</w:t>
      </w:r>
      <w:proofErr w:type="spellEnd"/>
      <w:r>
        <w:t xml:space="preserve"> (1992) enjoignent expressément à la RC-TNLEE et aux organismes et ministères fédéraux et provinciaux de conclure des protocoles d’entente pour assurer une coordination efficace et éviter le dédoublement des travaux et des activités.</w:t>
      </w:r>
    </w:p>
    <w:p w14:paraId="7CE55619" w14:textId="07C8ED38" w:rsidR="003C240B" w:rsidRDefault="00D945C5" w:rsidP="003C240B">
      <w:r>
        <w:t>Le MPO et la RC-TNLEE ont également établi un protocole d’entente bilatéral pour faciliter la collaboration dans le secteur pétrolier et gazier. Ce protocole d’entente désigne le MPO comme le principal conseiller de la RC-TNLEE en matière de conservation et de protection de l’écosystème marin pour ce qui est des activités pétrolières proposées; toutefois, le pouvoir décisionnel revient à la RC-TNLEE.</w:t>
      </w:r>
    </w:p>
    <w:p w14:paraId="0524E550" w14:textId="222C6013" w:rsidR="003C240B" w:rsidRDefault="003C240B" w:rsidP="003C240B">
      <w:r>
        <w:t xml:space="preserve">Le MPO conseille la RC-TNLEE conformément à son mandat et aux responsabilités relevant du Ministère en vertu de la </w:t>
      </w:r>
      <w:r>
        <w:rPr>
          <w:i/>
          <w:iCs/>
        </w:rPr>
        <w:t>Loi sur les pêches</w:t>
      </w:r>
      <w:r>
        <w:t xml:space="preserve">, de la </w:t>
      </w:r>
      <w:r>
        <w:rPr>
          <w:i/>
          <w:iCs/>
        </w:rPr>
        <w:t>Loi sur les océans</w:t>
      </w:r>
      <w:r>
        <w:t xml:space="preserve"> et de la </w:t>
      </w:r>
      <w:r>
        <w:rPr>
          <w:i/>
          <w:iCs/>
        </w:rPr>
        <w:t>Loi sur les espèces en péril</w:t>
      </w:r>
      <w:r>
        <w:t>. Plus précisément, le MPO conseille la RC-TNLEE dans les domaines suivants :</w:t>
      </w:r>
    </w:p>
    <w:p w14:paraId="737DD4A6" w14:textId="4DE39E02" w:rsidR="003C240B" w:rsidRDefault="003C240B" w:rsidP="006D0CEC">
      <w:pPr>
        <w:pStyle w:val="ListParagraph"/>
        <w:numPr>
          <w:ilvl w:val="0"/>
          <w:numId w:val="9"/>
        </w:numPr>
        <w:tabs>
          <w:tab w:val="left" w:pos="810"/>
        </w:tabs>
        <w:ind w:left="720"/>
      </w:pPr>
      <w:r>
        <w:t>le poisson et son habitat;</w:t>
      </w:r>
    </w:p>
    <w:p w14:paraId="3D53D30D" w14:textId="2EDF4F6E" w:rsidR="003C240B" w:rsidRDefault="003C240B" w:rsidP="006D0CEC">
      <w:pPr>
        <w:pStyle w:val="ListParagraph"/>
        <w:numPr>
          <w:ilvl w:val="0"/>
          <w:numId w:val="9"/>
        </w:numPr>
        <w:ind w:left="720"/>
      </w:pPr>
      <w:r>
        <w:t>les mammifères marins et les tortues de mer;</w:t>
      </w:r>
    </w:p>
    <w:p w14:paraId="53D45F2E" w14:textId="15F7A02D" w:rsidR="003C240B" w:rsidRDefault="003C240B" w:rsidP="006D0CEC">
      <w:pPr>
        <w:pStyle w:val="ListParagraph"/>
        <w:numPr>
          <w:ilvl w:val="0"/>
          <w:numId w:val="9"/>
        </w:numPr>
        <w:ind w:left="720"/>
      </w:pPr>
      <w:r>
        <w:t>les espèces en péril;</w:t>
      </w:r>
    </w:p>
    <w:p w14:paraId="1554502A" w14:textId="7D6AA2F6" w:rsidR="003C240B" w:rsidRDefault="003C240B" w:rsidP="006D0CEC">
      <w:pPr>
        <w:pStyle w:val="ListParagraph"/>
        <w:numPr>
          <w:ilvl w:val="0"/>
          <w:numId w:val="9"/>
        </w:numPr>
        <w:ind w:left="720"/>
      </w:pPr>
      <w:r>
        <w:t xml:space="preserve">les aires de conservation; </w:t>
      </w:r>
    </w:p>
    <w:p w14:paraId="4DA8FA69" w14:textId="77777777" w:rsidR="004D0828" w:rsidRDefault="004D0828" w:rsidP="004D0828">
      <w:pPr>
        <w:pStyle w:val="ListParagraph"/>
        <w:numPr>
          <w:ilvl w:val="0"/>
          <w:numId w:val="9"/>
        </w:numPr>
        <w:ind w:left="720"/>
      </w:pPr>
      <w:r>
        <w:t>les pêches.</w:t>
      </w:r>
    </w:p>
    <w:p w14:paraId="7D3E072A" w14:textId="34C4E1D5" w:rsidR="003C240B" w:rsidRDefault="003C240B" w:rsidP="003C240B">
      <w:r>
        <w:t>Le plan de travail 2025-2026 est un document opérationnel global déterminant les domaines dans lesquels un travail de collaboration est prévu au cours de l’exercice financier 2025-2026.</w:t>
      </w:r>
    </w:p>
    <w:p w14:paraId="61ED28E3" w14:textId="40C55E51" w:rsidR="003C240B" w:rsidRDefault="001F3125" w:rsidP="003C240B">
      <w:pPr>
        <w:pStyle w:val="Heading2"/>
      </w:pPr>
      <w:r>
        <w:t>Plan de travail 2025-2026</w:t>
      </w:r>
    </w:p>
    <w:p w14:paraId="4530C915" w14:textId="34CC9CB4" w:rsidR="003C240B" w:rsidRDefault="003C240B" w:rsidP="003C240B">
      <w:r>
        <w:t xml:space="preserve">Le MPO et la RC-TNLEE poursuivront leur collaboration pour atteindre les objectifs d’intérêt mutuel décrits à la section 4.0 du protocole d’entente. Le plan de travail 2025-2026 précise les projets et les activités associés à l’atteinte de ces objectifs; toutefois, cela n’empêche pas le MPO et la RC-TNLEE de </w:t>
      </w:r>
      <w:r>
        <w:lastRenderedPageBreak/>
        <w:t>collaborer dans d’autres projets ou activités prioritaires déterminés au cours de l’exercice financier, au besoin.</w:t>
      </w:r>
    </w:p>
    <w:p w14:paraId="7B9EF734" w14:textId="77777777" w:rsidR="003C240B" w:rsidRDefault="003C240B" w:rsidP="003C240B"/>
    <w:p w14:paraId="1C7E7829" w14:textId="19445988" w:rsidR="003C240B" w:rsidRDefault="003C240B" w:rsidP="003C240B">
      <w:pPr>
        <w:pStyle w:val="Heading3"/>
      </w:pPr>
      <w:r>
        <w:t>Établissement, planification, coordination et administration en commun des priorités</w:t>
      </w:r>
    </w:p>
    <w:p w14:paraId="5117E4DE" w14:textId="77777777" w:rsidR="00855B38" w:rsidRDefault="00855B38" w:rsidP="003C240B">
      <w:pPr>
        <w:pStyle w:val="Heading4"/>
        <w:rPr>
          <w:i w:val="0"/>
          <w:iCs w:val="0"/>
        </w:rPr>
      </w:pPr>
    </w:p>
    <w:p w14:paraId="3AD47085" w14:textId="7A4F590B" w:rsidR="003C240B" w:rsidRPr="003C240B" w:rsidRDefault="003C240B" w:rsidP="003C240B">
      <w:pPr>
        <w:pStyle w:val="Heading4"/>
        <w:rPr>
          <w:i w:val="0"/>
          <w:iCs w:val="0"/>
        </w:rPr>
      </w:pPr>
      <w:r>
        <w:rPr>
          <w:i w:val="0"/>
        </w:rPr>
        <w:t>Description :</w:t>
      </w:r>
    </w:p>
    <w:p w14:paraId="6C04BE3E" w14:textId="6419A193" w:rsidR="003C240B" w:rsidRDefault="003C240B" w:rsidP="003C240B">
      <w:r>
        <w:t xml:space="preserve">La RC-TNLEE et le MPO ont des responsabilités législatives et réglementaires en ce qui concerne les activités pétrolières dans la zone extracôtière Canada-Terre-Neuve-et-Labrador et les ressources aquatiques susceptibles d’interagir avec ces activités. À ce titre, la RC-TNLEE et le MPO s’engagent à travailler en étroite collaboration et à se consulter régulièrement et efficacement aux niveaux exécutif et opérationnel. </w:t>
      </w:r>
    </w:p>
    <w:p w14:paraId="0D0345DE" w14:textId="39F65EED" w:rsidR="003C240B" w:rsidRPr="003C240B" w:rsidRDefault="003C240B" w:rsidP="003C240B">
      <w:pPr>
        <w:pStyle w:val="Heading4"/>
        <w:rPr>
          <w:i w:val="0"/>
          <w:iCs w:val="0"/>
        </w:rPr>
      </w:pPr>
      <w:r>
        <w:rPr>
          <w:i w:val="0"/>
        </w:rPr>
        <w:t>Produits livrables et engagements :</w:t>
      </w:r>
    </w:p>
    <w:p w14:paraId="519C0B12" w14:textId="7CE8FA34" w:rsidR="003C240B" w:rsidRDefault="003C240B" w:rsidP="00DD5065">
      <w:pPr>
        <w:pStyle w:val="ListParagraph"/>
        <w:numPr>
          <w:ilvl w:val="0"/>
          <w:numId w:val="8"/>
        </w:numPr>
      </w:pPr>
      <w:r>
        <w:t>Les réunions régulières du Comité exécutif se poursuivront tout au long de l’exercice financier 2025-2026 et comprendront des discussions sur les priorités et l’état d’avancement du plan de travail 2025-2026.</w:t>
      </w:r>
    </w:p>
    <w:p w14:paraId="6A619EEF" w14:textId="26BEE68E" w:rsidR="003C240B" w:rsidRDefault="003C240B" w:rsidP="00DD5065">
      <w:pPr>
        <w:pStyle w:val="ListParagraph"/>
        <w:numPr>
          <w:ilvl w:val="0"/>
          <w:numId w:val="8"/>
        </w:numPr>
      </w:pPr>
      <w:r>
        <w:t>Le MPO et la RC-TNLEE publieront le plan de travail annuel 2025-2026 sur leur site Web respectif d’ici le 30 juin 2025.</w:t>
      </w:r>
    </w:p>
    <w:p w14:paraId="3E1B1828" w14:textId="098F03E3" w:rsidR="003C240B" w:rsidRDefault="003C240B" w:rsidP="00DD5065">
      <w:pPr>
        <w:pStyle w:val="ListParagraph"/>
        <w:numPr>
          <w:ilvl w:val="0"/>
          <w:numId w:val="8"/>
        </w:numPr>
      </w:pPr>
      <w:r>
        <w:t>Ils publieront le rapport des activités 2024-2025 sur leur site Web d’ici le 15 août 2025.</w:t>
      </w:r>
    </w:p>
    <w:p w14:paraId="307A8E80" w14:textId="54F0B195" w:rsidR="003C240B" w:rsidRDefault="003C240B" w:rsidP="00DD5065">
      <w:pPr>
        <w:pStyle w:val="ListParagraph"/>
        <w:numPr>
          <w:ilvl w:val="0"/>
          <w:numId w:val="8"/>
        </w:numPr>
      </w:pPr>
      <w:r>
        <w:t>Le Comité de mise en œuvre se réunira pour déterminer les enjeux et les domaines nécessitant une collaboration, ainsi que les projets qui devraient être intégrés au plan de travail 2026-2027.</w:t>
      </w:r>
    </w:p>
    <w:p w14:paraId="68B9816A" w14:textId="3E88DD13" w:rsidR="003C240B" w:rsidRDefault="003C240B" w:rsidP="00DD5065">
      <w:pPr>
        <w:pStyle w:val="ListParagraph"/>
        <w:numPr>
          <w:ilvl w:val="0"/>
          <w:numId w:val="8"/>
        </w:numPr>
      </w:pPr>
      <w:r>
        <w:t>Un plan de travail commun 2026-2027 sera élaboré et présenté pour approbation au MPO et à la RC-TNLEE.</w:t>
      </w:r>
    </w:p>
    <w:p w14:paraId="0EEB8494" w14:textId="77777777" w:rsidR="00855B38" w:rsidRDefault="00855B38" w:rsidP="003C240B">
      <w:pPr>
        <w:pStyle w:val="Heading3"/>
      </w:pPr>
    </w:p>
    <w:p w14:paraId="29357063" w14:textId="2E5F0910" w:rsidR="003C240B" w:rsidRDefault="003C240B" w:rsidP="003C240B">
      <w:pPr>
        <w:pStyle w:val="Heading3"/>
      </w:pPr>
      <w:r>
        <w:t>Activités de réglementation</w:t>
      </w:r>
    </w:p>
    <w:p w14:paraId="02255D09" w14:textId="1CB40BD1" w:rsidR="003C240B" w:rsidRPr="003C240B" w:rsidRDefault="003C240B" w:rsidP="003C240B">
      <w:pPr>
        <w:pStyle w:val="Heading4"/>
        <w:rPr>
          <w:i w:val="0"/>
          <w:iCs w:val="0"/>
        </w:rPr>
      </w:pPr>
      <w:r>
        <w:rPr>
          <w:i w:val="0"/>
        </w:rPr>
        <w:t>Description :</w:t>
      </w:r>
    </w:p>
    <w:p w14:paraId="2D6C8DAA" w14:textId="4D2C4B15" w:rsidR="003C240B" w:rsidRDefault="003C240B" w:rsidP="003C240B">
      <w:r>
        <w:t>Les signataires du plan de travail souhaitent améliorer de manière continue la collaboration dans le cadre des activités réglementaires afin de s’assurer que les effets potentiels sur les ressources aquatiques sont compris et atténués de manière efficace et efficiente. L’échange d’expertise et d’information dans le cadre des activités de réglementation est un élément clé des responsabilités et des obligations relevant du mandat de la RC-TNLEE et du MPO.</w:t>
      </w:r>
    </w:p>
    <w:p w14:paraId="38838A33" w14:textId="32BDE491" w:rsidR="003C240B" w:rsidRPr="003C240B" w:rsidRDefault="003C240B" w:rsidP="003C240B">
      <w:pPr>
        <w:pStyle w:val="Heading4"/>
        <w:rPr>
          <w:i w:val="0"/>
          <w:iCs w:val="0"/>
        </w:rPr>
      </w:pPr>
      <w:r>
        <w:rPr>
          <w:i w:val="0"/>
        </w:rPr>
        <w:t>Produits livrables et engagements :</w:t>
      </w:r>
    </w:p>
    <w:p w14:paraId="29599F65" w14:textId="0F10FD3A" w:rsidR="003C240B" w:rsidRDefault="003C240B" w:rsidP="00DD5065">
      <w:pPr>
        <w:pStyle w:val="ListParagraph"/>
        <w:numPr>
          <w:ilvl w:val="0"/>
          <w:numId w:val="7"/>
        </w:numPr>
      </w:pPr>
      <w:r>
        <w:t xml:space="preserve">Le MPO conseillera la RC-TNLEE sur les évaluations environnementales, les modifications d’évaluations environnementales et autres documents connexes réalisés au titre de la </w:t>
      </w:r>
      <w:r>
        <w:rPr>
          <w:i/>
          <w:iCs/>
        </w:rPr>
        <w:t>Loi de mise en œuvre de l’Accord atlantique Canada–Terre-Neuve-et-Labrador</w:t>
      </w:r>
      <w:r>
        <w:t>.</w:t>
      </w:r>
    </w:p>
    <w:p w14:paraId="6E44A980" w14:textId="425D1455" w:rsidR="003C240B" w:rsidRDefault="003C240B" w:rsidP="00DD5065">
      <w:pPr>
        <w:pStyle w:val="ListParagraph"/>
        <w:numPr>
          <w:ilvl w:val="0"/>
          <w:numId w:val="7"/>
        </w:numPr>
      </w:pPr>
      <w:r>
        <w:t xml:space="preserve">Le MPO conseillera et informera la RC-TNLEE au sujet de la conformité du promoteur aux conditions pertinentes énoncées dans l’étude d’impact fédérale, les énoncés de décision en matière d’évaluation environnementale ou le </w:t>
      </w:r>
      <w:r>
        <w:rPr>
          <w:i/>
          <w:iCs/>
        </w:rPr>
        <w:t>Règlement visant des activités concrètes exclues</w:t>
      </w:r>
      <w:r>
        <w:t xml:space="preserve"> (puits d’exploration au large des côtes de Terre-Neuve-et-Labrador).</w:t>
      </w:r>
    </w:p>
    <w:p w14:paraId="5B277C19" w14:textId="7CD8CA4D" w:rsidR="003C240B" w:rsidRDefault="003C240B" w:rsidP="00DD5065">
      <w:pPr>
        <w:pStyle w:val="ListParagraph"/>
        <w:numPr>
          <w:ilvl w:val="0"/>
          <w:numId w:val="7"/>
        </w:numPr>
      </w:pPr>
      <w:r>
        <w:lastRenderedPageBreak/>
        <w:t>Le MPO conseillera la RC-TNLEE au sujet des programmes d’études de suivi des effets sur l’environnement (ESEE) pour les projets d’exploitation pétrolière en mer et de la révision des plans existants d’étude de suivi des effets sur l’environnement.</w:t>
      </w:r>
    </w:p>
    <w:p w14:paraId="27CD0E3F" w14:textId="5D82522B" w:rsidR="003C240B" w:rsidRDefault="003C240B" w:rsidP="003C240B">
      <w:pPr>
        <w:pStyle w:val="ListParagraph"/>
        <w:numPr>
          <w:ilvl w:val="0"/>
          <w:numId w:val="7"/>
        </w:numPr>
      </w:pPr>
      <w:r>
        <w:t xml:space="preserve">Le MPO informera la RC-TNLEE au sujet de l’inscription éventuelle d’espèces marines à l’annexe 1 de la </w:t>
      </w:r>
      <w:r>
        <w:rPr>
          <w:i/>
          <w:iCs/>
        </w:rPr>
        <w:t>Loi sur les espèces en péril</w:t>
      </w:r>
      <w:r>
        <w:t xml:space="preserve"> et sollicitera son avis à ce sujet.</w:t>
      </w:r>
    </w:p>
    <w:p w14:paraId="3B01951B" w14:textId="77777777" w:rsidR="00855B38" w:rsidRDefault="00855B38" w:rsidP="003C240B">
      <w:pPr>
        <w:pStyle w:val="Heading3"/>
      </w:pPr>
    </w:p>
    <w:p w14:paraId="00A84F6C" w14:textId="7C49EC77" w:rsidR="003C240B" w:rsidRDefault="003C240B" w:rsidP="003C240B">
      <w:pPr>
        <w:pStyle w:val="Heading3"/>
      </w:pPr>
      <w:r>
        <w:t>Intervention et préparation en cas d’incident</w:t>
      </w:r>
    </w:p>
    <w:p w14:paraId="53FB8F1E" w14:textId="77777777" w:rsidR="003C240B" w:rsidRPr="003C240B" w:rsidRDefault="003C240B" w:rsidP="003C240B">
      <w:pPr>
        <w:pStyle w:val="Heading4"/>
        <w:rPr>
          <w:i w:val="0"/>
          <w:iCs w:val="0"/>
        </w:rPr>
      </w:pPr>
      <w:r>
        <w:rPr>
          <w:i w:val="0"/>
        </w:rPr>
        <w:t>Description :</w:t>
      </w:r>
    </w:p>
    <w:p w14:paraId="5C7A1BDB" w14:textId="220494AA" w:rsidR="003C240B" w:rsidRDefault="003C240B" w:rsidP="003C240B">
      <w:r>
        <w:t>Le MPO et la RC-TNLEE ont des mandats indépendants en ce qui concerne la préparation et l’intervention en cas d’urgence environnementale. Les initiatives déterminées faciliteront l’échange d’information afin d’adopter des approches coordonnées en matière de préparation et d’intervention en cas d’urgence, le cas échéant.</w:t>
      </w:r>
    </w:p>
    <w:p w14:paraId="538B92AC" w14:textId="220EF446" w:rsidR="003C240B" w:rsidRPr="003C240B" w:rsidRDefault="003C240B" w:rsidP="003C240B">
      <w:pPr>
        <w:pStyle w:val="Heading4"/>
        <w:rPr>
          <w:i w:val="0"/>
          <w:iCs w:val="0"/>
        </w:rPr>
      </w:pPr>
      <w:r>
        <w:rPr>
          <w:i w:val="0"/>
        </w:rPr>
        <w:t>Produits livrables et engagements :</w:t>
      </w:r>
    </w:p>
    <w:p w14:paraId="48ECF989" w14:textId="68D315DF" w:rsidR="003C240B" w:rsidRDefault="003C240B" w:rsidP="006D0CEC">
      <w:pPr>
        <w:pStyle w:val="ListParagraph"/>
        <w:numPr>
          <w:ilvl w:val="0"/>
          <w:numId w:val="10"/>
        </w:numPr>
        <w:ind w:left="720"/>
      </w:pPr>
      <w:r>
        <w:t>Le MPO donnera des conseils sur la prévention des incidents par les exploitants, la préparation et la planification de l’intervention (p. ex. plans d’intervention en cas de déversement, évaluations de l’atténuation de l’impact des déversements et plans relatifs à la faune et à la flore).</w:t>
      </w:r>
    </w:p>
    <w:p w14:paraId="66C2D986" w14:textId="299A6D23" w:rsidR="003C240B" w:rsidRDefault="003C240B" w:rsidP="006D0CEC">
      <w:pPr>
        <w:pStyle w:val="ListParagraph"/>
        <w:numPr>
          <w:ilvl w:val="0"/>
          <w:numId w:val="10"/>
        </w:numPr>
        <w:ind w:left="720"/>
      </w:pPr>
      <w:r>
        <w:t>Le MPO soutiendra et conseillera la RC-TNLEE lors des exercices s’inscrivant dans le plan d’intervention en cas de déversement menés par les exploitants.</w:t>
      </w:r>
    </w:p>
    <w:p w14:paraId="142B88E1" w14:textId="1E1A7BFD" w:rsidR="00012AC7" w:rsidRDefault="00012AC7" w:rsidP="006D0CEC">
      <w:pPr>
        <w:pStyle w:val="ListParagraph"/>
        <w:numPr>
          <w:ilvl w:val="0"/>
          <w:numId w:val="10"/>
        </w:numPr>
        <w:ind w:left="720"/>
      </w:pPr>
      <w:r>
        <w:t>Le MPO appuiera et conseillera la RC-TNLEE lors d’incidents environnementaux.</w:t>
      </w:r>
    </w:p>
    <w:p w14:paraId="5C1FDB1F" w14:textId="67917D92" w:rsidR="003C240B" w:rsidRDefault="003C240B" w:rsidP="003C240B">
      <w:pPr>
        <w:pStyle w:val="Heading3"/>
      </w:pPr>
      <w:r>
        <w:t xml:space="preserve">Collaboration pour l’échange d’information </w:t>
      </w:r>
    </w:p>
    <w:p w14:paraId="4D260E40" w14:textId="77777777" w:rsidR="003C240B" w:rsidRPr="003C240B" w:rsidRDefault="003C240B" w:rsidP="003C240B">
      <w:pPr>
        <w:pStyle w:val="Heading4"/>
        <w:rPr>
          <w:i w:val="0"/>
          <w:iCs w:val="0"/>
        </w:rPr>
      </w:pPr>
      <w:r>
        <w:rPr>
          <w:i w:val="0"/>
        </w:rPr>
        <w:t>Description :</w:t>
      </w:r>
    </w:p>
    <w:p w14:paraId="6511A511" w14:textId="749A014E" w:rsidR="003C240B" w:rsidRDefault="003C240B" w:rsidP="003C240B">
      <w:r>
        <w:t>La collaboration pour l’échange d’information entre la RC-TNLEE et le MPO est essentielle pour faire avancer leurs priorités respectives et remplir les obligations décrites dans le protocole d’entente bilatéral. Les priorités absolues pour 2025-2026 sont définies ci-après.</w:t>
      </w:r>
    </w:p>
    <w:p w14:paraId="70F67283" w14:textId="189B8A22" w:rsidR="003C240B" w:rsidRPr="003C240B" w:rsidRDefault="003C240B" w:rsidP="003C240B">
      <w:pPr>
        <w:pStyle w:val="Heading4"/>
        <w:rPr>
          <w:i w:val="0"/>
          <w:iCs w:val="0"/>
        </w:rPr>
      </w:pPr>
      <w:r>
        <w:rPr>
          <w:i w:val="0"/>
        </w:rPr>
        <w:t>Produits livrables et engagements :</w:t>
      </w:r>
    </w:p>
    <w:p w14:paraId="3993F6AA" w14:textId="1C31B543" w:rsidR="003C240B" w:rsidRDefault="003C240B" w:rsidP="00350BAB">
      <w:pPr>
        <w:pStyle w:val="ListParagraph"/>
        <w:numPr>
          <w:ilvl w:val="0"/>
          <w:numId w:val="6"/>
        </w:numPr>
      </w:pPr>
      <w:r>
        <w:t>Le MPO informera la RC-TNLEE de la publication proposée ou définitive de documents de rétablissement dans le Registre public des espèces en péril.</w:t>
      </w:r>
    </w:p>
    <w:p w14:paraId="508E4B2C" w14:textId="34137EDD" w:rsidR="0048795F" w:rsidRDefault="0048795F" w:rsidP="0048795F">
      <w:pPr>
        <w:pStyle w:val="ListParagraph"/>
        <w:numPr>
          <w:ilvl w:val="0"/>
          <w:numId w:val="6"/>
        </w:numPr>
      </w:pPr>
      <w:r>
        <w:t xml:space="preserve">Le MPO informera la RC-TNLEE des consultations publiques portant sur la possibilité d’inscrire une espèce à la Liste des espèces en péril (annexe 1) de la LEP. </w:t>
      </w:r>
    </w:p>
    <w:p w14:paraId="7C6AA0F6" w14:textId="1752FE84" w:rsidR="003C240B" w:rsidRDefault="003C240B" w:rsidP="00350BAB">
      <w:pPr>
        <w:pStyle w:val="ListParagraph"/>
        <w:numPr>
          <w:ilvl w:val="0"/>
          <w:numId w:val="6"/>
        </w:numPr>
      </w:pPr>
      <w:r>
        <w:t>La RC-TNLEE et le MPO faciliteront l’échange d’information en participant au Comité régional de surveillance de la gestion des océans (CRSGO), au Comité Canada-Terre-Neuve-et-Labrador sur la gestion des océans (CCTNLGO) et aux groupes de travail associés, coordonnés par le MPO.</w:t>
      </w:r>
    </w:p>
    <w:p w14:paraId="21ADE8F7" w14:textId="5FF26999" w:rsidR="003C240B" w:rsidRDefault="003C240B" w:rsidP="00350BAB">
      <w:pPr>
        <w:pStyle w:val="ListParagraph"/>
        <w:numPr>
          <w:ilvl w:val="0"/>
          <w:numId w:val="6"/>
        </w:numPr>
      </w:pPr>
      <w:r>
        <w:t>La RC-TNLEE et le MPO se réuniront au besoin pour faciliter l’échange d’information sur la planification spatiale marine.</w:t>
      </w:r>
    </w:p>
    <w:p w14:paraId="27CF1F47" w14:textId="1683E72B" w:rsidR="003C240B" w:rsidRDefault="003C240B" w:rsidP="00350BAB">
      <w:pPr>
        <w:pStyle w:val="ListParagraph"/>
        <w:numPr>
          <w:ilvl w:val="0"/>
          <w:numId w:val="6"/>
        </w:numPr>
      </w:pPr>
      <w:bookmarkStart w:id="0" w:name="OLE_LINK1"/>
      <w:bookmarkStart w:id="1" w:name="OLE_LINK2"/>
      <w:r>
        <w:t>La RC-TNLEE et le MPO collaboreront pour s’assurer que les données liées à la planification spatiale marine publiées par l’Atlas de la planification maritime du Canada et par le centre de données et d’information de la RC-TNLEE sont à jour et pertinentes.</w:t>
      </w:r>
    </w:p>
    <w:p w14:paraId="3F837DDD" w14:textId="34F6CEB5" w:rsidR="00531A13" w:rsidRDefault="00762C51" w:rsidP="00350BAB">
      <w:pPr>
        <w:pStyle w:val="ListParagraph"/>
        <w:numPr>
          <w:ilvl w:val="0"/>
          <w:numId w:val="6"/>
        </w:numPr>
      </w:pPr>
      <w:bookmarkStart w:id="2" w:name="_Hlk163219032"/>
      <w:bookmarkEnd w:id="0"/>
      <w:bookmarkEnd w:id="1"/>
      <w:r>
        <w:t xml:space="preserve">Le MPO fournira un avis à la RC-TNLEE concernant la conformité des exploitants aux conditions d’évaluation environnementale liées aux directives du MPO visant à protéger les coraux et les </w:t>
      </w:r>
      <w:r>
        <w:lastRenderedPageBreak/>
        <w:t>éponges contre les répercussions potentielles du forage exploratoire, tant à l’intérieur qu’à l’extérieur de la portée des autres mesures de conservation efficaces par zone (AMCEZ).</w:t>
      </w:r>
    </w:p>
    <w:bookmarkEnd w:id="2"/>
    <w:p w14:paraId="390917B1" w14:textId="617D3CD0" w:rsidR="003C240B" w:rsidRDefault="003C240B" w:rsidP="00350BAB">
      <w:pPr>
        <w:pStyle w:val="ListParagraph"/>
        <w:numPr>
          <w:ilvl w:val="0"/>
          <w:numId w:val="6"/>
        </w:numPr>
      </w:pPr>
      <w:r>
        <w:t xml:space="preserve">La RC-TNLEE fournira les rapports d’atténuation et de surveillance des programmes géophysiques, géologiques, géotechniques ou environnementaux au MPO afin de lui permettre de vérifier la conformité de l’exploitant aux mesures décrites dans l’Énoncé des pratiques canadiennes d’atténuation des ondes sismiques en milieu marin. </w:t>
      </w:r>
    </w:p>
    <w:p w14:paraId="61BCEC16" w14:textId="474FEFE6" w:rsidR="00DB6AB2" w:rsidRDefault="00DB6AB2" w:rsidP="00350BAB">
      <w:pPr>
        <w:pStyle w:val="ListParagraph"/>
        <w:numPr>
          <w:ilvl w:val="0"/>
          <w:numId w:val="6"/>
        </w:numPr>
      </w:pPr>
      <w:r>
        <w:t xml:space="preserve">La RC-TNLEE fournira au MPO les rapports environnementaux annuels et les données à l’appui soumis par les exploitants dans la zone extracôtière de Terre-Neuve-et-Labrador. </w:t>
      </w:r>
    </w:p>
    <w:p w14:paraId="7E4646AC" w14:textId="565C67C6" w:rsidR="006772AE" w:rsidRPr="006772AE" w:rsidRDefault="006772AE" w:rsidP="006772AE">
      <w:pPr>
        <w:pStyle w:val="ListParagraph"/>
        <w:numPr>
          <w:ilvl w:val="0"/>
          <w:numId w:val="6"/>
        </w:numPr>
        <w:spacing w:line="252" w:lineRule="auto"/>
        <w:rPr>
          <w:rFonts w:eastAsia="Times New Roman"/>
        </w:rPr>
      </w:pPr>
      <w:r>
        <w:t xml:space="preserve">Le MPO consultera la RC-TNLEE et sollicitera son avis et de l’information au sujet des activités pétrolières et gazières associées à d’éventuelles aires marines de conservation dans la zone extracôtière de Terre-Neuve-et-Labrador. </w:t>
      </w:r>
    </w:p>
    <w:p w14:paraId="2CDEB66C" w14:textId="2879CCAC" w:rsidR="003C240B" w:rsidRDefault="003C240B" w:rsidP="00350BAB">
      <w:pPr>
        <w:pStyle w:val="ListParagraph"/>
        <w:numPr>
          <w:ilvl w:val="0"/>
          <w:numId w:val="6"/>
        </w:numPr>
      </w:pPr>
      <w:r>
        <w:t>Le MPO collaborera avec la RC-TNLEE pour faciliter la présentation de renseignements ou de données à inclure dans les prévisions et les rapports semestriels à soumettre au secrétariat de l’Organisation des pêches de l’Atlantique Nord-Ouest (OPANO), notamment :</w:t>
      </w:r>
    </w:p>
    <w:p w14:paraId="77090DE5" w14:textId="55CDD19E" w:rsidR="003C240B" w:rsidRDefault="003C240B" w:rsidP="00350BAB">
      <w:pPr>
        <w:pStyle w:val="ListParagraph"/>
        <w:numPr>
          <w:ilvl w:val="1"/>
          <w:numId w:val="6"/>
        </w:numPr>
      </w:pPr>
      <w:r>
        <w:t xml:space="preserve">les activités pétrolières prévues dans la zone extracôtière Canada–Terre-Neuve-et-Labrador; </w:t>
      </w:r>
    </w:p>
    <w:p w14:paraId="31670107" w14:textId="3B895EB9" w:rsidR="003C240B" w:rsidRDefault="003C240B" w:rsidP="00350BAB">
      <w:pPr>
        <w:pStyle w:val="ListParagraph"/>
        <w:numPr>
          <w:ilvl w:val="1"/>
          <w:numId w:val="6"/>
        </w:numPr>
      </w:pPr>
      <w:r>
        <w:t>la notification des incidents sur l’eau;</w:t>
      </w:r>
    </w:p>
    <w:p w14:paraId="056DCD98" w14:textId="77777777" w:rsidR="00DE0D12" w:rsidRDefault="003C240B" w:rsidP="00350BAB">
      <w:pPr>
        <w:pStyle w:val="ListParagraph"/>
        <w:numPr>
          <w:ilvl w:val="1"/>
          <w:numId w:val="6"/>
        </w:numPr>
      </w:pPr>
      <w:r>
        <w:t>la notification des incidents environnementaux (par exemple, les déversements et les rejets);</w:t>
      </w:r>
    </w:p>
    <w:p w14:paraId="14675296" w14:textId="183EAEEF" w:rsidR="003C240B" w:rsidRDefault="003C240B" w:rsidP="00350BAB">
      <w:pPr>
        <w:pStyle w:val="ListParagraph"/>
        <w:numPr>
          <w:ilvl w:val="1"/>
          <w:numId w:val="6"/>
        </w:numPr>
      </w:pPr>
      <w:r>
        <w:t xml:space="preserve">la notification des demandes d’autorisation et des approbations de la RC-TNLEE. </w:t>
      </w:r>
    </w:p>
    <w:p w14:paraId="5AD80202" w14:textId="53CB8D50" w:rsidR="003C240B" w:rsidRDefault="003C240B" w:rsidP="00350BAB">
      <w:pPr>
        <w:pStyle w:val="ListParagraph"/>
        <w:numPr>
          <w:ilvl w:val="0"/>
          <w:numId w:val="6"/>
        </w:numPr>
      </w:pPr>
      <w:r>
        <w:t>Le MPO fournira à la RC-TNLEE des informations ou des données sur les activités de pêche dans les divisions de la zone réglementée par l’OPANO (les données du système de surveillance des navires sous réserve des conditions d’utilisation, les écosystèmes marins vulnérables fermés à la pêche), demandées dans le cadre de l’accord d’échange de renseignements, afin de guider la planification des activités pétrolières dans la zone réglementée par l’OPANO.</w:t>
      </w:r>
    </w:p>
    <w:p w14:paraId="4925160D" w14:textId="092150E7" w:rsidR="00292BC7" w:rsidRDefault="003C240B" w:rsidP="00C469D9">
      <w:pPr>
        <w:pStyle w:val="ListParagraph"/>
        <w:numPr>
          <w:ilvl w:val="0"/>
          <w:numId w:val="6"/>
        </w:numPr>
      </w:pPr>
      <w:r>
        <w:t>Le MPO et la RC-TNLEE continueront à collaborer et à contribuer aux objectifs de recherche pertinents pour la RC-TNLEE et l’industrie pétrolière.</w:t>
      </w:r>
    </w:p>
    <w:p w14:paraId="28FD8042" w14:textId="76C9177F" w:rsidR="00DA4AC8" w:rsidRDefault="00DA4AC8" w:rsidP="00DA4AC8">
      <w:pPr>
        <w:pStyle w:val="ListParagraph"/>
        <w:numPr>
          <w:ilvl w:val="0"/>
          <w:numId w:val="6"/>
        </w:numPr>
      </w:pPr>
      <w:r>
        <w:t>La RC-TNLEE communiquera avec le MPO au sujet de l’élargissement prévu de son mandat afin d’inclure la réglementation du développement des énergies renouvelables en mer et le changement de nom de l’Office Canada-Terre-Neuve-et-Labrador des hydrocarbures extracôtiers, qui sera renommé la Régie Canada-Terre-Neuve-et-Labrador de l’énergie extracôtière (RC-TNLEE).</w:t>
      </w:r>
    </w:p>
    <w:p w14:paraId="39BE5425" w14:textId="16F0B334" w:rsidR="00DA4AC8" w:rsidRDefault="00DA4AC8" w:rsidP="00DA4AC8">
      <w:pPr>
        <w:pStyle w:val="ListParagraph"/>
        <w:numPr>
          <w:ilvl w:val="0"/>
          <w:numId w:val="6"/>
        </w:numPr>
      </w:pPr>
      <w:r>
        <w:t>La RC-TNLEE communiquera avec le MPO au sujet des prochaines initiatives de participation des pêches.</w:t>
      </w:r>
    </w:p>
    <w:p w14:paraId="386957C4" w14:textId="6C912DEB" w:rsidR="003C240B" w:rsidRDefault="003C240B" w:rsidP="00C469D9">
      <w:pPr>
        <w:pStyle w:val="Heading2"/>
      </w:pPr>
      <w:r>
        <w:t>Approbation</w:t>
      </w:r>
    </w:p>
    <w:p w14:paraId="3C58BA7E" w14:textId="7500337B" w:rsidR="003C240B" w:rsidRDefault="003C240B" w:rsidP="006772AE">
      <w:pPr>
        <w:spacing w:after="0" w:line="240" w:lineRule="auto"/>
      </w:pPr>
      <w:r>
        <w:t xml:space="preserve">Les soussignés approuvent le Plan de travail 2025-2026 proposé conformément au protocole d’entente conclu entre </w:t>
      </w:r>
    </w:p>
    <w:p w14:paraId="53891BCB" w14:textId="4301FAB0" w:rsidR="003C240B" w:rsidRDefault="0037580C" w:rsidP="006772AE">
      <w:pPr>
        <w:spacing w:after="0" w:line="240" w:lineRule="auto"/>
      </w:pPr>
      <w:r>
        <w:t>la RC-TNLEE et le MPO.</w:t>
      </w:r>
    </w:p>
    <w:p w14:paraId="19BD8800" w14:textId="60827337" w:rsidR="006772AE" w:rsidRDefault="006772AE" w:rsidP="006772AE">
      <w:pPr>
        <w:spacing w:after="0" w:line="240" w:lineRule="auto"/>
        <w:rPr>
          <w:b/>
          <w:bCs/>
        </w:rPr>
      </w:pPr>
    </w:p>
    <w:p w14:paraId="078B021D" w14:textId="77777777" w:rsidR="006772AE" w:rsidRDefault="006772AE" w:rsidP="006772AE">
      <w:pPr>
        <w:spacing w:after="0" w:line="240" w:lineRule="auto"/>
        <w:rPr>
          <w:b/>
          <w:bCs/>
        </w:rPr>
      </w:pPr>
    </w:p>
    <w:p w14:paraId="03E5A8E9" w14:textId="0A753535" w:rsidR="006772AE" w:rsidRDefault="006772AE" w:rsidP="006772AE">
      <w:pPr>
        <w:spacing w:after="0" w:line="240" w:lineRule="auto"/>
        <w:rPr>
          <w:b/>
          <w:bCs/>
        </w:rPr>
      </w:pPr>
    </w:p>
    <w:p w14:paraId="4D86F4F1" w14:textId="77777777" w:rsidR="006772AE" w:rsidRDefault="006772AE" w:rsidP="006772AE">
      <w:pPr>
        <w:spacing w:after="0" w:line="240" w:lineRule="auto"/>
        <w:rPr>
          <w:b/>
          <w:bCs/>
        </w:rPr>
      </w:pPr>
    </w:p>
    <w:p w14:paraId="6DE64E48" w14:textId="1F1F03E8" w:rsidR="003C240B" w:rsidRPr="00350BAB" w:rsidRDefault="003C240B" w:rsidP="006772AE">
      <w:pPr>
        <w:spacing w:after="0" w:line="240" w:lineRule="auto"/>
        <w:rPr>
          <w:b/>
          <w:bCs/>
        </w:rPr>
      </w:pPr>
      <w:r>
        <w:rPr>
          <w:b/>
        </w:rPr>
        <w:t>Pêches et Océans Canada</w:t>
      </w:r>
      <w:r>
        <w:tab/>
      </w:r>
      <w:r>
        <w:tab/>
      </w:r>
    </w:p>
    <w:p w14:paraId="375607EF" w14:textId="3AC74269" w:rsidR="003C240B" w:rsidRDefault="003C240B" w:rsidP="006772AE">
      <w:pPr>
        <w:spacing w:after="0" w:line="240" w:lineRule="auto"/>
      </w:pPr>
      <w:r>
        <w:t>William </w:t>
      </w:r>
      <w:proofErr w:type="spellStart"/>
      <w:r>
        <w:t>McGillivray</w:t>
      </w:r>
      <w:proofErr w:type="spellEnd"/>
      <w:r>
        <w:tab/>
      </w:r>
      <w:r>
        <w:tab/>
      </w:r>
    </w:p>
    <w:p w14:paraId="7A7B3C41" w14:textId="77777777" w:rsidR="003C240B" w:rsidRDefault="003C240B" w:rsidP="006772AE">
      <w:pPr>
        <w:spacing w:after="0" w:line="240" w:lineRule="auto"/>
      </w:pPr>
      <w:r>
        <w:lastRenderedPageBreak/>
        <w:t>Directeur général régional, Pêches et Océans Canada</w:t>
      </w:r>
    </w:p>
    <w:p w14:paraId="64C3810C" w14:textId="77777777" w:rsidR="003C240B" w:rsidRDefault="003C240B" w:rsidP="006772AE">
      <w:pPr>
        <w:spacing w:after="0" w:line="240" w:lineRule="auto"/>
      </w:pPr>
      <w:r>
        <w:t>Région de Terre-Neuve-et-Labrador</w:t>
      </w:r>
    </w:p>
    <w:p w14:paraId="51E16981" w14:textId="7ADCD30C" w:rsidR="003C240B" w:rsidRDefault="003C240B" w:rsidP="006772AE">
      <w:pPr>
        <w:spacing w:after="0" w:line="240" w:lineRule="auto"/>
      </w:pPr>
    </w:p>
    <w:p w14:paraId="04995C43" w14:textId="77777777" w:rsidR="006772AE" w:rsidRDefault="006772AE" w:rsidP="006772AE">
      <w:pPr>
        <w:spacing w:after="0" w:line="240" w:lineRule="auto"/>
      </w:pPr>
    </w:p>
    <w:p w14:paraId="5F96B941" w14:textId="4D6F8E5A" w:rsidR="006772AE" w:rsidRDefault="006772AE" w:rsidP="006772AE">
      <w:pPr>
        <w:spacing w:after="0" w:line="240" w:lineRule="auto"/>
        <w:rPr>
          <w:b/>
          <w:bCs/>
        </w:rPr>
      </w:pPr>
    </w:p>
    <w:p w14:paraId="4BB4F381" w14:textId="77777777" w:rsidR="006772AE" w:rsidRDefault="006772AE" w:rsidP="006772AE">
      <w:pPr>
        <w:spacing w:after="0" w:line="240" w:lineRule="auto"/>
        <w:rPr>
          <w:b/>
          <w:bCs/>
        </w:rPr>
      </w:pPr>
    </w:p>
    <w:p w14:paraId="76F9E3A1" w14:textId="29521534" w:rsidR="003C240B" w:rsidRPr="00350BAB" w:rsidRDefault="0037580C" w:rsidP="006772AE">
      <w:pPr>
        <w:spacing w:after="0" w:line="240" w:lineRule="auto"/>
        <w:rPr>
          <w:b/>
          <w:bCs/>
        </w:rPr>
      </w:pPr>
      <w:r>
        <w:rPr>
          <w:b/>
        </w:rPr>
        <w:t>Régie Canada–Terre-Neuve-et-Labrador de l’énergie extracôtière</w:t>
      </w:r>
      <w:r>
        <w:rPr>
          <w:b/>
        </w:rPr>
        <w:tab/>
      </w:r>
      <w:r>
        <w:rPr>
          <w:b/>
        </w:rPr>
        <w:tab/>
      </w:r>
      <w:r>
        <w:rPr>
          <w:b/>
        </w:rPr>
        <w:tab/>
      </w:r>
    </w:p>
    <w:p w14:paraId="6B9E8003" w14:textId="67AE97BC" w:rsidR="003C240B" w:rsidRDefault="003C240B" w:rsidP="006772AE">
      <w:pPr>
        <w:spacing w:after="0" w:line="240" w:lineRule="auto"/>
      </w:pPr>
      <w:r>
        <w:t>Scott Tessier</w:t>
      </w:r>
      <w:r>
        <w:tab/>
      </w:r>
      <w:r>
        <w:tab/>
      </w:r>
      <w:r>
        <w:tab/>
      </w:r>
      <w:r>
        <w:tab/>
      </w:r>
      <w:r>
        <w:tab/>
      </w:r>
      <w:r>
        <w:tab/>
      </w:r>
      <w:r>
        <w:tab/>
      </w:r>
    </w:p>
    <w:p w14:paraId="29B4CB54" w14:textId="77777777" w:rsidR="006B72EE" w:rsidRDefault="003C240B" w:rsidP="006B72EE">
      <w:pPr>
        <w:spacing w:after="0" w:line="240" w:lineRule="auto"/>
      </w:pPr>
      <w:r>
        <w:t>Président-directeur général</w:t>
      </w:r>
    </w:p>
    <w:p w14:paraId="2BB8FBB9" w14:textId="36FCB3BA" w:rsidR="006772AE" w:rsidRDefault="0037580C" w:rsidP="006B72EE">
      <w:pPr>
        <w:spacing w:after="0" w:line="240" w:lineRule="auto"/>
      </w:pPr>
      <w:r>
        <w:t>Régie Canada–Terre-Neuve-et-Labrador de l’énergie extracôtière</w:t>
      </w:r>
    </w:p>
    <w:p w14:paraId="2ABAC94B" w14:textId="3BCE7380" w:rsidR="006B72EE" w:rsidRDefault="006B72EE" w:rsidP="006B72EE">
      <w:pPr>
        <w:spacing w:after="0" w:line="240" w:lineRule="auto"/>
      </w:pPr>
    </w:p>
    <w:p w14:paraId="7A31D6FA" w14:textId="65114116" w:rsidR="006B72EE" w:rsidRDefault="006B72EE" w:rsidP="006B72EE">
      <w:pPr>
        <w:spacing w:after="0" w:line="240" w:lineRule="auto"/>
      </w:pPr>
    </w:p>
    <w:p w14:paraId="46CEE705" w14:textId="77777777" w:rsidR="00FE076A" w:rsidRDefault="00FE076A" w:rsidP="006B72EE">
      <w:pPr>
        <w:spacing w:after="0" w:line="240" w:lineRule="auto"/>
      </w:pPr>
    </w:p>
    <w:p w14:paraId="61FAC407" w14:textId="77777777" w:rsidR="006B72EE" w:rsidRDefault="006B72EE" w:rsidP="006B72EE">
      <w:pPr>
        <w:spacing w:after="0" w:line="240" w:lineRule="auto"/>
      </w:pPr>
    </w:p>
    <w:p w14:paraId="07036F8F" w14:textId="77777777" w:rsidR="00F246C6" w:rsidRDefault="00F246C6">
      <w:pPr>
        <w:rPr>
          <w:rFonts w:asciiTheme="majorHAnsi" w:eastAsiaTheme="majorEastAsia" w:hAnsiTheme="majorHAnsi" w:cstheme="majorBidi"/>
          <w:color w:val="2F5496" w:themeColor="accent1" w:themeShade="BF"/>
          <w:sz w:val="26"/>
          <w:szCs w:val="26"/>
        </w:rPr>
      </w:pPr>
      <w:r>
        <w:br w:type="page"/>
      </w:r>
    </w:p>
    <w:p w14:paraId="75C097A6" w14:textId="2DCC05B3" w:rsidR="003C240B" w:rsidRDefault="003C240B" w:rsidP="00350BAB">
      <w:pPr>
        <w:pStyle w:val="Heading2"/>
      </w:pPr>
      <w:r>
        <w:lastRenderedPageBreak/>
        <w:t>Annexe A</w:t>
      </w:r>
    </w:p>
    <w:p w14:paraId="646F74FD" w14:textId="3BA8CB52" w:rsidR="003C240B" w:rsidRDefault="003C240B" w:rsidP="00350BAB">
      <w:pPr>
        <w:pStyle w:val="Heading3"/>
      </w:pPr>
      <w:r>
        <w:t>Index des abréviations</w:t>
      </w:r>
    </w:p>
    <w:p w14:paraId="22E7F5FD" w14:textId="77777777" w:rsidR="003C240B" w:rsidRDefault="003C240B" w:rsidP="003C240B">
      <w:r>
        <w:t xml:space="preserve">CEAA 2012 : </w:t>
      </w:r>
      <w:r>
        <w:rPr>
          <w:i/>
          <w:iCs/>
        </w:rPr>
        <w:t>Loi canadienne sur l’évaluation environnementale</w:t>
      </w:r>
      <w:r>
        <w:t>, 2012</w:t>
      </w:r>
    </w:p>
    <w:p w14:paraId="37D4A9DA" w14:textId="77777777" w:rsidR="003C240B" w:rsidRDefault="003C240B" w:rsidP="003C240B">
      <w:r>
        <w:t>CCTNLGO : Comité Canada-Terre-Neuve-et-Labrador sur la gestion des océans</w:t>
      </w:r>
    </w:p>
    <w:p w14:paraId="7484D9D9" w14:textId="4F3ABED0" w:rsidR="003C240B" w:rsidRDefault="0037580C" w:rsidP="003C240B">
      <w:r>
        <w:t>RC-TNLEE : Régie Canada–Terre-Neuve-et-Labrador de l’énergie extracôtière</w:t>
      </w:r>
    </w:p>
    <w:p w14:paraId="27A648E1" w14:textId="77777777" w:rsidR="003C240B" w:rsidRDefault="003C240B" w:rsidP="003C240B">
      <w:r>
        <w:t>MPO : Pêches et Océans Canada</w:t>
      </w:r>
    </w:p>
    <w:p w14:paraId="31469AB5" w14:textId="77777777" w:rsidR="003C240B" w:rsidRDefault="003C240B" w:rsidP="003C240B">
      <w:r>
        <w:t>EE : Évaluation environnementale</w:t>
      </w:r>
    </w:p>
    <w:p w14:paraId="7CA9E9B7" w14:textId="77777777" w:rsidR="003C240B" w:rsidRDefault="003C240B" w:rsidP="003C240B">
      <w:r>
        <w:t>ESEE : étude de suivi des effets sur l’environnement</w:t>
      </w:r>
    </w:p>
    <w:p w14:paraId="1D781B20" w14:textId="77777777" w:rsidR="003C240B" w:rsidRDefault="003C240B" w:rsidP="003C240B">
      <w:r>
        <w:t>EI : Étude d’impact</w:t>
      </w:r>
    </w:p>
    <w:p w14:paraId="23B56807" w14:textId="77777777" w:rsidR="003C240B" w:rsidRDefault="003C240B" w:rsidP="003C240B">
      <w:r>
        <w:t xml:space="preserve">AEIC : Agence d’évaluation d’impact du Canada </w:t>
      </w:r>
    </w:p>
    <w:p w14:paraId="0164A060" w14:textId="77777777" w:rsidR="003C240B" w:rsidRDefault="003C240B" w:rsidP="003C240B">
      <w:r>
        <w:t>PE : Protocole d’entente</w:t>
      </w:r>
    </w:p>
    <w:p w14:paraId="0C692F76" w14:textId="77777777" w:rsidR="003C240B" w:rsidRDefault="003C240B" w:rsidP="003C240B">
      <w:r>
        <w:t>PCM : Planification et conservation marines</w:t>
      </w:r>
    </w:p>
    <w:p w14:paraId="3A4E7844" w14:textId="77777777" w:rsidR="003C240B" w:rsidRDefault="003C240B" w:rsidP="003C240B">
      <w:r>
        <w:t>PSM : Planification spatiale marine</w:t>
      </w:r>
    </w:p>
    <w:p w14:paraId="6F68A919" w14:textId="77777777" w:rsidR="003C240B" w:rsidRDefault="003C240B" w:rsidP="003C240B">
      <w:r>
        <w:t>OPANO : Organisation des pêches de l’Atlantique Nord-Ouest</w:t>
      </w:r>
    </w:p>
    <w:p w14:paraId="1D2C04E4" w14:textId="77777777" w:rsidR="003C240B" w:rsidRDefault="003C240B" w:rsidP="003C240B">
      <w:r>
        <w:t xml:space="preserve">CNUE : Centre national des urgences environnementales </w:t>
      </w:r>
    </w:p>
    <w:p w14:paraId="3CC46C61" w14:textId="77777777" w:rsidR="003C240B" w:rsidRDefault="003C240B" w:rsidP="003C240B">
      <w:r>
        <w:t>T.-N.-L. : Terre-Neuve-et-Labrador</w:t>
      </w:r>
    </w:p>
    <w:p w14:paraId="567E9F00" w14:textId="77777777" w:rsidR="003C240B" w:rsidRDefault="003C240B" w:rsidP="003C240B">
      <w:r>
        <w:t>ZRO : Zone réglementée par l’OPANO</w:t>
      </w:r>
    </w:p>
    <w:p w14:paraId="52A6B411" w14:textId="77777777" w:rsidR="003C240B" w:rsidRDefault="003C240B" w:rsidP="003C240B">
      <w:r>
        <w:t>CRSGO : Comité régional de surveillance de la gestion des océans</w:t>
      </w:r>
    </w:p>
    <w:p w14:paraId="6056CDAF" w14:textId="77777777" w:rsidR="003C240B" w:rsidRDefault="003C240B" w:rsidP="003C240B">
      <w:r>
        <w:t xml:space="preserve">LEP : </w:t>
      </w:r>
      <w:r>
        <w:rPr>
          <w:i/>
          <w:iCs/>
        </w:rPr>
        <w:t>Loi sur les espèces en péril</w:t>
      </w:r>
    </w:p>
    <w:p w14:paraId="7D1DA6C9" w14:textId="77777777" w:rsidR="003C240B" w:rsidRDefault="003C240B" w:rsidP="003C240B">
      <w:r>
        <w:t>SSN : Système de surveillance des navires</w:t>
      </w:r>
    </w:p>
    <w:p w14:paraId="3C5A2F7E" w14:textId="77777777" w:rsidR="00121C38" w:rsidRDefault="00121C38"/>
    <w:sectPr w:rsidR="00121C38">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D968A" w14:textId="77777777" w:rsidR="003B6675" w:rsidRDefault="003B6675" w:rsidP="00D945C5">
      <w:pPr>
        <w:spacing w:after="0" w:line="240" w:lineRule="auto"/>
      </w:pPr>
      <w:r>
        <w:separator/>
      </w:r>
    </w:p>
  </w:endnote>
  <w:endnote w:type="continuationSeparator" w:id="0">
    <w:p w14:paraId="7C74CFD6" w14:textId="77777777" w:rsidR="003B6675" w:rsidRDefault="003B6675" w:rsidP="00D94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6233437"/>
      <w:docPartObj>
        <w:docPartGallery w:val="Page Numbers (Bottom of Page)"/>
        <w:docPartUnique/>
      </w:docPartObj>
    </w:sdtPr>
    <w:sdtEndPr>
      <w:rPr>
        <w:noProof/>
      </w:rPr>
    </w:sdtEndPr>
    <w:sdtContent>
      <w:p w14:paraId="72127E56" w14:textId="6F38CA39" w:rsidR="00D945C5" w:rsidRDefault="00D945C5">
        <w:pPr>
          <w:pStyle w:val="Footer"/>
          <w:jc w:val="right"/>
        </w:pPr>
        <w:r>
          <w:fldChar w:fldCharType="begin"/>
        </w:r>
        <w:r>
          <w:instrText xml:space="preserve"> PAGE   \* MERGEFORMAT </w:instrText>
        </w:r>
        <w:r>
          <w:fldChar w:fldCharType="separate"/>
        </w:r>
        <w:r w:rsidR="00DE0D12">
          <w:t>2</w:t>
        </w:r>
        <w:r>
          <w:fldChar w:fldCharType="end"/>
        </w:r>
      </w:p>
    </w:sdtContent>
  </w:sdt>
  <w:p w14:paraId="3FC180BD" w14:textId="77777777" w:rsidR="00D945C5" w:rsidRDefault="00D945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409C8" w14:textId="77777777" w:rsidR="003B6675" w:rsidRDefault="003B6675" w:rsidP="00D945C5">
      <w:pPr>
        <w:spacing w:after="0" w:line="240" w:lineRule="auto"/>
      </w:pPr>
      <w:r>
        <w:separator/>
      </w:r>
    </w:p>
  </w:footnote>
  <w:footnote w:type="continuationSeparator" w:id="0">
    <w:p w14:paraId="61344368" w14:textId="77777777" w:rsidR="003B6675" w:rsidRDefault="003B6675" w:rsidP="00D94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D4CBF" w14:textId="747975E7" w:rsidR="006E0406" w:rsidRDefault="006E0406">
    <w:pPr>
      <w:pStyle w:val="Header"/>
    </w:pPr>
    <w:r>
      <w:rPr>
        <w:noProof/>
      </w:rPr>
      <mc:AlternateContent>
        <mc:Choice Requires="wps">
          <w:drawing>
            <wp:anchor distT="0" distB="0" distL="0" distR="0" simplePos="0" relativeHeight="251659264" behindDoc="0" locked="0" layoutInCell="1" allowOverlap="1" wp14:anchorId="72AD1D52" wp14:editId="3815426B">
              <wp:simplePos x="635" y="635"/>
              <wp:positionH relativeFrom="page">
                <wp:align>right</wp:align>
              </wp:positionH>
              <wp:positionV relativeFrom="page">
                <wp:align>top</wp:align>
              </wp:positionV>
              <wp:extent cx="443865" cy="443865"/>
              <wp:effectExtent l="0" t="0" r="0" b="8890"/>
              <wp:wrapNone/>
              <wp:docPr id="935434518" name="Text Box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8DD42E" w14:textId="1511991E" w:rsidR="006E0406" w:rsidRPr="006E0406" w:rsidRDefault="006E0406" w:rsidP="006E0406">
                          <w:pPr>
                            <w:spacing w:after="0"/>
                            <w:rPr>
                              <w:rFonts w:ascii="Calibri" w:eastAsia="Calibri" w:hAnsi="Calibri" w:cs="Calibri"/>
                              <w:noProof/>
                              <w:color w:val="000000"/>
                              <w:sz w:val="24"/>
                              <w:szCs w:val="24"/>
                            </w:rPr>
                          </w:pPr>
                          <w:r w:rsidRPr="006E0406">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2AD1D52" id="_x0000_t202" coordsize="21600,21600" o:spt="202" path="m,l,21600r21600,l21600,xe">
              <v:stroke joinstyle="miter"/>
              <v:path gradientshapeok="t" o:connecttype="rect"/>
            </v:shapetype>
            <v:shape id="Text Box 2" o:spid="_x0000_s1026" type="#_x0000_t202" alt="Unclassified - Non-Classifié" style="position:absolute;margin-left:-5.0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fill o:detectmouseclick="t"/>
              <v:textbox style="mso-fit-shape-to-text:t" inset="0,15pt,20pt,0">
                <w:txbxContent>
                  <w:p w14:paraId="0D8DD42E" w14:textId="1511991E" w:rsidR="006E0406" w:rsidRPr="006E0406" w:rsidRDefault="006E0406" w:rsidP="006E0406">
                    <w:pPr>
                      <w:spacing w:after="0"/>
                      <w:rPr>
                        <w:rFonts w:ascii="Calibri" w:eastAsia="Calibri" w:hAnsi="Calibri" w:cs="Calibri"/>
                        <w:noProof/>
                        <w:color w:val="000000"/>
                        <w:sz w:val="24"/>
                        <w:szCs w:val="24"/>
                      </w:rPr>
                    </w:pPr>
                    <w:r w:rsidRPr="006E0406">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405BD" w14:textId="3494BB33" w:rsidR="006E0406" w:rsidRDefault="006E0406">
    <w:pPr>
      <w:pStyle w:val="Header"/>
    </w:pPr>
    <w:r>
      <w:rPr>
        <w:noProof/>
      </w:rPr>
      <mc:AlternateContent>
        <mc:Choice Requires="wps">
          <w:drawing>
            <wp:anchor distT="0" distB="0" distL="0" distR="0" simplePos="0" relativeHeight="251660288" behindDoc="0" locked="0" layoutInCell="1" allowOverlap="1" wp14:anchorId="48DE5790" wp14:editId="7420339A">
              <wp:simplePos x="914400" y="457200"/>
              <wp:positionH relativeFrom="page">
                <wp:align>right</wp:align>
              </wp:positionH>
              <wp:positionV relativeFrom="page">
                <wp:align>top</wp:align>
              </wp:positionV>
              <wp:extent cx="443865" cy="443865"/>
              <wp:effectExtent l="0" t="0" r="0" b="8890"/>
              <wp:wrapNone/>
              <wp:docPr id="1638371056" name="Text Box 3"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B1A36E" w14:textId="3DD79A10" w:rsidR="006E0406" w:rsidRPr="006E0406" w:rsidRDefault="006E0406" w:rsidP="006E0406">
                          <w:pPr>
                            <w:spacing w:after="0"/>
                            <w:rPr>
                              <w:rFonts w:ascii="Calibri" w:eastAsia="Calibri" w:hAnsi="Calibri" w:cs="Calibri"/>
                              <w:noProof/>
                              <w:color w:val="000000"/>
                              <w:sz w:val="24"/>
                              <w:szCs w:val="24"/>
                            </w:rPr>
                          </w:pPr>
                          <w:r w:rsidRPr="006E0406">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8DE5790" id="_x0000_t202" coordsize="21600,21600" o:spt="202" path="m,l,21600r21600,l21600,xe">
              <v:stroke joinstyle="miter"/>
              <v:path gradientshapeok="t" o:connecttype="rect"/>
            </v:shapetype>
            <v:shape id="Text Box 3" o:spid="_x0000_s1027" type="#_x0000_t202" alt="Unclassified - Non-Classifié" style="position:absolute;margin-left:-5.0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filled="f" stroked="f">
              <v:fill o:detectmouseclick="t"/>
              <v:textbox style="mso-fit-shape-to-text:t" inset="0,15pt,20pt,0">
                <w:txbxContent>
                  <w:p w14:paraId="54B1A36E" w14:textId="3DD79A10" w:rsidR="006E0406" w:rsidRPr="006E0406" w:rsidRDefault="006E0406" w:rsidP="006E0406">
                    <w:pPr>
                      <w:spacing w:after="0"/>
                      <w:rPr>
                        <w:rFonts w:ascii="Calibri" w:eastAsia="Calibri" w:hAnsi="Calibri" w:cs="Calibri"/>
                        <w:noProof/>
                        <w:color w:val="000000"/>
                        <w:sz w:val="24"/>
                        <w:szCs w:val="24"/>
                      </w:rPr>
                    </w:pPr>
                    <w:r w:rsidRPr="006E0406">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1E24" w14:textId="1E1926A9" w:rsidR="006E0406" w:rsidRDefault="006E0406">
    <w:pPr>
      <w:pStyle w:val="Header"/>
    </w:pPr>
    <w:r>
      <w:rPr>
        <w:noProof/>
      </w:rPr>
      <mc:AlternateContent>
        <mc:Choice Requires="wps">
          <w:drawing>
            <wp:anchor distT="0" distB="0" distL="0" distR="0" simplePos="0" relativeHeight="251658240" behindDoc="0" locked="0" layoutInCell="1" allowOverlap="1" wp14:anchorId="45ECD5FF" wp14:editId="6086E848">
              <wp:simplePos x="635" y="635"/>
              <wp:positionH relativeFrom="page">
                <wp:align>right</wp:align>
              </wp:positionH>
              <wp:positionV relativeFrom="page">
                <wp:align>top</wp:align>
              </wp:positionV>
              <wp:extent cx="443865" cy="443865"/>
              <wp:effectExtent l="0" t="0" r="0" b="8890"/>
              <wp:wrapNone/>
              <wp:docPr id="958424998" name="Text Box 1"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614EFF" w14:textId="5720704A" w:rsidR="006E0406" w:rsidRPr="006E0406" w:rsidRDefault="006E0406" w:rsidP="006E0406">
                          <w:pPr>
                            <w:spacing w:after="0"/>
                            <w:rPr>
                              <w:rFonts w:ascii="Calibri" w:eastAsia="Calibri" w:hAnsi="Calibri" w:cs="Calibri"/>
                              <w:noProof/>
                              <w:color w:val="000000"/>
                              <w:sz w:val="24"/>
                              <w:szCs w:val="24"/>
                            </w:rPr>
                          </w:pPr>
                          <w:r w:rsidRPr="006E0406">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5ECD5FF" id="_x0000_t202" coordsize="21600,21600" o:spt="202" path="m,l,21600r21600,l21600,xe">
              <v:stroke joinstyle="miter"/>
              <v:path gradientshapeok="t" o:connecttype="rect"/>
            </v:shapetype>
            <v:shape id="Text Box 1" o:spid="_x0000_s1028" type="#_x0000_t202" alt="Unclassified - Non-Classifié" style="position:absolute;margin-left:-5.0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fill o:detectmouseclick="t"/>
              <v:textbox style="mso-fit-shape-to-text:t" inset="0,15pt,20pt,0">
                <w:txbxContent>
                  <w:p w14:paraId="53614EFF" w14:textId="5720704A" w:rsidR="006E0406" w:rsidRPr="006E0406" w:rsidRDefault="006E0406" w:rsidP="006E0406">
                    <w:pPr>
                      <w:spacing w:after="0"/>
                      <w:rPr>
                        <w:rFonts w:ascii="Calibri" w:eastAsia="Calibri" w:hAnsi="Calibri" w:cs="Calibri"/>
                        <w:noProof/>
                        <w:color w:val="000000"/>
                        <w:sz w:val="24"/>
                        <w:szCs w:val="24"/>
                      </w:rPr>
                    </w:pPr>
                    <w:r w:rsidRPr="006E0406">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D1CC0"/>
    <w:multiLevelType w:val="hybridMultilevel"/>
    <w:tmpl w:val="31084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2264D"/>
    <w:multiLevelType w:val="hybridMultilevel"/>
    <w:tmpl w:val="25E068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B66165A"/>
    <w:multiLevelType w:val="hybridMultilevel"/>
    <w:tmpl w:val="ADCC0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B96F0C"/>
    <w:multiLevelType w:val="hybridMultilevel"/>
    <w:tmpl w:val="D7521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3565A1"/>
    <w:multiLevelType w:val="hybridMultilevel"/>
    <w:tmpl w:val="3C422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9A2F9C"/>
    <w:multiLevelType w:val="hybridMultilevel"/>
    <w:tmpl w:val="4154A44C"/>
    <w:lvl w:ilvl="0" w:tplc="6A7C86D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90517C"/>
    <w:multiLevelType w:val="hybridMultilevel"/>
    <w:tmpl w:val="851CF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714573"/>
    <w:multiLevelType w:val="hybridMultilevel"/>
    <w:tmpl w:val="33188E3E"/>
    <w:lvl w:ilvl="0" w:tplc="6A7C86D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EB5BE3"/>
    <w:multiLevelType w:val="hybridMultilevel"/>
    <w:tmpl w:val="A1023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E1639D0"/>
    <w:multiLevelType w:val="hybridMultilevel"/>
    <w:tmpl w:val="2D1E5C1C"/>
    <w:lvl w:ilvl="0" w:tplc="6A7C86D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3255335">
    <w:abstractNumId w:val="6"/>
  </w:num>
  <w:num w:numId="2" w16cid:durableId="1740052657">
    <w:abstractNumId w:val="7"/>
  </w:num>
  <w:num w:numId="3" w16cid:durableId="168065969">
    <w:abstractNumId w:val="2"/>
  </w:num>
  <w:num w:numId="4" w16cid:durableId="974022476">
    <w:abstractNumId w:val="9"/>
  </w:num>
  <w:num w:numId="5" w16cid:durableId="1713994482">
    <w:abstractNumId w:val="5"/>
  </w:num>
  <w:num w:numId="6" w16cid:durableId="361907452">
    <w:abstractNumId w:val="3"/>
  </w:num>
  <w:num w:numId="7" w16cid:durableId="993728602">
    <w:abstractNumId w:val="0"/>
  </w:num>
  <w:num w:numId="8" w16cid:durableId="30881402">
    <w:abstractNumId w:val="4"/>
  </w:num>
  <w:num w:numId="9" w16cid:durableId="835921216">
    <w:abstractNumId w:val="8"/>
  </w:num>
  <w:num w:numId="10" w16cid:durableId="1652753494">
    <w:abstractNumId w:val="1"/>
  </w:num>
  <w:num w:numId="11" w16cid:durableId="941761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40B"/>
    <w:rsid w:val="00012AC7"/>
    <w:rsid w:val="000352F0"/>
    <w:rsid w:val="00093213"/>
    <w:rsid w:val="000979BA"/>
    <w:rsid w:val="00121C38"/>
    <w:rsid w:val="00167E52"/>
    <w:rsid w:val="001D045A"/>
    <w:rsid w:val="001F3125"/>
    <w:rsid w:val="001F7B33"/>
    <w:rsid w:val="00243DF6"/>
    <w:rsid w:val="00274252"/>
    <w:rsid w:val="002828FD"/>
    <w:rsid w:val="00292BC7"/>
    <w:rsid w:val="00294468"/>
    <w:rsid w:val="002A25CF"/>
    <w:rsid w:val="002D13D3"/>
    <w:rsid w:val="002F712E"/>
    <w:rsid w:val="00350BAB"/>
    <w:rsid w:val="0037580C"/>
    <w:rsid w:val="00387DFE"/>
    <w:rsid w:val="00391D1E"/>
    <w:rsid w:val="00397C0C"/>
    <w:rsid w:val="003B6675"/>
    <w:rsid w:val="003C240B"/>
    <w:rsid w:val="00424AAD"/>
    <w:rsid w:val="00433BF5"/>
    <w:rsid w:val="0048795F"/>
    <w:rsid w:val="004A2E4F"/>
    <w:rsid w:val="004A7A59"/>
    <w:rsid w:val="004B42FC"/>
    <w:rsid w:val="004D0643"/>
    <w:rsid w:val="004D0828"/>
    <w:rsid w:val="00506EFF"/>
    <w:rsid w:val="00531A13"/>
    <w:rsid w:val="00561DD3"/>
    <w:rsid w:val="005A6633"/>
    <w:rsid w:val="005B5FAB"/>
    <w:rsid w:val="005C06B2"/>
    <w:rsid w:val="006772AE"/>
    <w:rsid w:val="006A1D66"/>
    <w:rsid w:val="006B72EE"/>
    <w:rsid w:val="006D0CEC"/>
    <w:rsid w:val="006E0406"/>
    <w:rsid w:val="00710B86"/>
    <w:rsid w:val="007122D1"/>
    <w:rsid w:val="0071232B"/>
    <w:rsid w:val="007276C4"/>
    <w:rsid w:val="00743CCC"/>
    <w:rsid w:val="00762C51"/>
    <w:rsid w:val="007F3608"/>
    <w:rsid w:val="00836153"/>
    <w:rsid w:val="00855B38"/>
    <w:rsid w:val="009533EA"/>
    <w:rsid w:val="0095403A"/>
    <w:rsid w:val="00957DB8"/>
    <w:rsid w:val="009D20AE"/>
    <w:rsid w:val="009E22EA"/>
    <w:rsid w:val="00A12FEB"/>
    <w:rsid w:val="00A34867"/>
    <w:rsid w:val="00A61A24"/>
    <w:rsid w:val="00A64F12"/>
    <w:rsid w:val="00A664DF"/>
    <w:rsid w:val="00A92E05"/>
    <w:rsid w:val="00AA22E5"/>
    <w:rsid w:val="00AD20CF"/>
    <w:rsid w:val="00AF4B7D"/>
    <w:rsid w:val="00BD45C0"/>
    <w:rsid w:val="00C469D9"/>
    <w:rsid w:val="00C46F7D"/>
    <w:rsid w:val="00CC0186"/>
    <w:rsid w:val="00CE2271"/>
    <w:rsid w:val="00CF59C0"/>
    <w:rsid w:val="00D369F3"/>
    <w:rsid w:val="00D821B0"/>
    <w:rsid w:val="00D841B6"/>
    <w:rsid w:val="00D855AF"/>
    <w:rsid w:val="00D945C5"/>
    <w:rsid w:val="00DA4AC8"/>
    <w:rsid w:val="00DB6AB2"/>
    <w:rsid w:val="00DD5065"/>
    <w:rsid w:val="00DE0D12"/>
    <w:rsid w:val="00E51351"/>
    <w:rsid w:val="00E675F6"/>
    <w:rsid w:val="00F01B1A"/>
    <w:rsid w:val="00F246C6"/>
    <w:rsid w:val="00F4639E"/>
    <w:rsid w:val="00FB02BC"/>
    <w:rsid w:val="00FE0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2550C"/>
  <w15:chartTrackingRefBased/>
  <w15:docId w15:val="{11BD08ED-6C18-4CD6-9585-FB135DB3E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24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C24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C24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C240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4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C240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3C240B"/>
    <w:pPr>
      <w:ind w:left="720"/>
      <w:contextualSpacing/>
    </w:pPr>
  </w:style>
  <w:style w:type="character" w:styleId="Hyperlink">
    <w:name w:val="Hyperlink"/>
    <w:basedOn w:val="DefaultParagraphFont"/>
    <w:uiPriority w:val="99"/>
    <w:unhideWhenUsed/>
    <w:rsid w:val="003C240B"/>
    <w:rPr>
      <w:color w:val="0563C1" w:themeColor="hyperlink"/>
      <w:u w:val="single"/>
    </w:rPr>
  </w:style>
  <w:style w:type="character" w:customStyle="1" w:styleId="UnresolvedMention1">
    <w:name w:val="Unresolved Mention1"/>
    <w:basedOn w:val="DefaultParagraphFont"/>
    <w:uiPriority w:val="99"/>
    <w:semiHidden/>
    <w:unhideWhenUsed/>
    <w:rsid w:val="003C240B"/>
    <w:rPr>
      <w:color w:val="605E5C"/>
      <w:shd w:val="clear" w:color="auto" w:fill="E1DFDD"/>
    </w:rPr>
  </w:style>
  <w:style w:type="character" w:customStyle="1" w:styleId="Heading3Char">
    <w:name w:val="Heading 3 Char"/>
    <w:basedOn w:val="DefaultParagraphFont"/>
    <w:link w:val="Heading3"/>
    <w:uiPriority w:val="9"/>
    <w:rsid w:val="003C240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3C240B"/>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C469D9"/>
    <w:rPr>
      <w:color w:val="954F72" w:themeColor="followedHyperlink"/>
      <w:u w:val="single"/>
    </w:rPr>
  </w:style>
  <w:style w:type="character" w:styleId="CommentReference">
    <w:name w:val="annotation reference"/>
    <w:basedOn w:val="DefaultParagraphFont"/>
    <w:uiPriority w:val="99"/>
    <w:semiHidden/>
    <w:unhideWhenUsed/>
    <w:rsid w:val="004D0828"/>
    <w:rPr>
      <w:sz w:val="16"/>
      <w:szCs w:val="16"/>
    </w:rPr>
  </w:style>
  <w:style w:type="paragraph" w:styleId="CommentText">
    <w:name w:val="annotation text"/>
    <w:basedOn w:val="Normal"/>
    <w:link w:val="CommentTextChar"/>
    <w:uiPriority w:val="99"/>
    <w:unhideWhenUsed/>
    <w:rsid w:val="004D0828"/>
    <w:pPr>
      <w:spacing w:line="240" w:lineRule="auto"/>
    </w:pPr>
    <w:rPr>
      <w:sz w:val="20"/>
      <w:szCs w:val="20"/>
    </w:rPr>
  </w:style>
  <w:style w:type="character" w:customStyle="1" w:styleId="CommentTextChar">
    <w:name w:val="Comment Text Char"/>
    <w:basedOn w:val="DefaultParagraphFont"/>
    <w:link w:val="CommentText"/>
    <w:uiPriority w:val="99"/>
    <w:rsid w:val="004D0828"/>
    <w:rPr>
      <w:sz w:val="20"/>
      <w:szCs w:val="20"/>
    </w:rPr>
  </w:style>
  <w:style w:type="paragraph" w:styleId="Revision">
    <w:name w:val="Revision"/>
    <w:hidden/>
    <w:uiPriority w:val="99"/>
    <w:semiHidden/>
    <w:rsid w:val="004D0828"/>
    <w:pPr>
      <w:spacing w:after="0" w:line="240" w:lineRule="auto"/>
    </w:pPr>
  </w:style>
  <w:style w:type="paragraph" w:styleId="CommentSubject">
    <w:name w:val="annotation subject"/>
    <w:basedOn w:val="CommentText"/>
    <w:next w:val="CommentText"/>
    <w:link w:val="CommentSubjectChar"/>
    <w:uiPriority w:val="99"/>
    <w:semiHidden/>
    <w:unhideWhenUsed/>
    <w:rsid w:val="00A92E05"/>
    <w:rPr>
      <w:b/>
      <w:bCs/>
    </w:rPr>
  </w:style>
  <w:style w:type="character" w:customStyle="1" w:styleId="CommentSubjectChar">
    <w:name w:val="Comment Subject Char"/>
    <w:basedOn w:val="CommentTextChar"/>
    <w:link w:val="CommentSubject"/>
    <w:uiPriority w:val="99"/>
    <w:semiHidden/>
    <w:rsid w:val="00A92E05"/>
    <w:rPr>
      <w:b/>
      <w:bCs/>
      <w:sz w:val="20"/>
      <w:szCs w:val="20"/>
    </w:rPr>
  </w:style>
  <w:style w:type="paragraph" w:styleId="BalloonText">
    <w:name w:val="Balloon Text"/>
    <w:basedOn w:val="Normal"/>
    <w:link w:val="BalloonTextChar"/>
    <w:uiPriority w:val="99"/>
    <w:semiHidden/>
    <w:unhideWhenUsed/>
    <w:rsid w:val="005C06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6B2"/>
    <w:rPr>
      <w:rFonts w:ascii="Segoe UI" w:hAnsi="Segoe UI" w:cs="Segoe UI"/>
      <w:sz w:val="18"/>
      <w:szCs w:val="18"/>
    </w:rPr>
  </w:style>
  <w:style w:type="paragraph" w:styleId="Header">
    <w:name w:val="header"/>
    <w:basedOn w:val="Normal"/>
    <w:link w:val="HeaderChar"/>
    <w:uiPriority w:val="99"/>
    <w:unhideWhenUsed/>
    <w:rsid w:val="00D94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5C5"/>
  </w:style>
  <w:style w:type="paragraph" w:styleId="Footer">
    <w:name w:val="footer"/>
    <w:basedOn w:val="Normal"/>
    <w:link w:val="FooterChar"/>
    <w:uiPriority w:val="99"/>
    <w:unhideWhenUsed/>
    <w:rsid w:val="00D94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60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2B2CF340104C46ADCF7E7EEC40CBEB" ma:contentTypeVersion="15" ma:contentTypeDescription="Create a new document." ma:contentTypeScope="" ma:versionID="78dc6b8daa8311984c3854a0a32add13">
  <xsd:schema xmlns:xsd="http://www.w3.org/2001/XMLSchema" xmlns:xs="http://www.w3.org/2001/XMLSchema" xmlns:p="http://schemas.microsoft.com/office/2006/metadata/properties" xmlns:ns2="6836e8bd-9638-433c-879b-ed9c261cbf81" targetNamespace="http://schemas.microsoft.com/office/2006/metadata/properties" ma:root="true" ma:fieldsID="51537eb4b0a6a3b88de9ed6af2fbda84" ns2:_="">
    <xsd:import namespace="6836e8bd-9638-433c-879b-ed9c261cbf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36e8bd-9638-433c-879b-ed9c261cb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cca27c4-1c34-4d50-97f2-be840b0de0b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36e8bd-9638-433c-879b-ed9c261cbf8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5734C7-9D32-458B-AD02-B80BDC118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36e8bd-9638-433c-879b-ed9c261cbf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DD9800-DC14-46F4-A932-23BE64F02B09}">
  <ds:schemaRefs>
    <ds:schemaRef ds:uri="http://schemas.microsoft.com/office/2006/metadata/properties"/>
    <ds:schemaRef ds:uri="http://schemas.microsoft.com/office/infopath/2007/PartnerControls"/>
    <ds:schemaRef ds:uri="6836e8bd-9638-433c-879b-ed9c261cbf81"/>
  </ds:schemaRefs>
</ds:datastoreItem>
</file>

<file path=customXml/itemProps3.xml><?xml version="1.0" encoding="utf-8"?>
<ds:datastoreItem xmlns:ds="http://schemas.openxmlformats.org/officeDocument/2006/customXml" ds:itemID="{B3574971-767C-4AE8-9403-625384ABE7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1770</Words>
  <Characters>10092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DFO MPO</Company>
  <LinksUpToDate>false</LinksUpToDate>
  <CharactersWithSpaces>11839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Murphy</dc:creator>
  <cp:keywords/>
  <dc:description/>
  <cp:lastModifiedBy>AE-IMRP, NL</cp:lastModifiedBy>
  <cp:revision>2</cp:revision>
  <cp:lastPrinted>2024-05-15T10:26:00Z</cp:lastPrinted>
  <dcterms:created xsi:type="dcterms:W3CDTF">2025-07-09T19:07:00Z</dcterms:created>
  <dcterms:modified xsi:type="dcterms:W3CDTF">2025-07-09T19:07:00Z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4ec31c05bdf563286ff84828a02420247518d099b49da7b3239b7433593e0089</vt:lpwstr>
  </property>
  <property fmtid="{D5CDD505-2E9C-101B-9397-08002B2CF9AE}" pid="3" name="ContentTypeId">
    <vt:lpwstr>0x0101007E2B2CF340104C46ADCF7E7EEC40CBEB</vt:lpwstr>
  </property>
  <property fmtid="{D5CDD505-2E9C-101B-9397-08002B2CF9AE}" pid="4" name="MediaServiceImageTags">
    <vt:lpwstr/>
  </property>
  <property fmtid="{D5CDD505-2E9C-101B-9397-08002B2CF9AE}" pid="5" name="MSIP_Label_834ed4f5-eae4-40c7-82be-b1cdf720a1b9_Enabled">
    <vt:lpwstr>true</vt:lpwstr>
  </property>
  <property fmtid="{D5CDD505-2E9C-101B-9397-08002B2CF9AE}" pid="6" name="MSIP_Label_834ed4f5-eae4-40c7-82be-b1cdf720a1b9_SetDate">
    <vt:lpwstr>2025-07-04T15:52:24Z</vt:lpwstr>
  </property>
  <property fmtid="{D5CDD505-2E9C-101B-9397-08002B2CF9AE}" pid="7" name="MSIP_Label_834ed4f5-eae4-40c7-82be-b1cdf720a1b9_Method">
    <vt:lpwstr>Standard</vt:lpwstr>
  </property>
  <property fmtid="{D5CDD505-2E9C-101B-9397-08002B2CF9AE}" pid="8" name="MSIP_Label_834ed4f5-eae4-40c7-82be-b1cdf720a1b9_Name">
    <vt:lpwstr>Unclassified - Non classifié</vt:lpwstr>
  </property>
  <property fmtid="{D5CDD505-2E9C-101B-9397-08002B2CF9AE}" pid="9" name="MSIP_Label_834ed4f5-eae4-40c7-82be-b1cdf720a1b9_SiteId">
    <vt:lpwstr>e0d54a3c-7bbe-4a64-9d46-f9f84a41c833</vt:lpwstr>
  </property>
  <property fmtid="{D5CDD505-2E9C-101B-9397-08002B2CF9AE}" pid="10" name="MSIP_Label_834ed4f5-eae4-40c7-82be-b1cdf720a1b9_ActionId">
    <vt:lpwstr>895ac665-7fba-4f33-a047-fd32b97543f2</vt:lpwstr>
  </property>
  <property fmtid="{D5CDD505-2E9C-101B-9397-08002B2CF9AE}" pid="11" name="MSIP_Label_834ed4f5-eae4-40c7-82be-b1cdf720a1b9_ContentBits">
    <vt:lpwstr>0</vt:lpwstr>
  </property>
  <property fmtid="{D5CDD505-2E9C-101B-9397-08002B2CF9AE}" pid="12" name="MSIP_Label_834ed4f5-eae4-40c7-82be-b1cdf720a1b9_Tag">
    <vt:lpwstr>10, 3, 0, 1</vt:lpwstr>
  </property>
  <property fmtid="{D5CDD505-2E9C-101B-9397-08002B2CF9AE}" pid="13" name="ClassificationContentMarkingHeaderShapeIds">
    <vt:lpwstr>392067a6,37c19916,61a78ef0</vt:lpwstr>
  </property>
  <property fmtid="{D5CDD505-2E9C-101B-9397-08002B2CF9AE}" pid="14" name="ClassificationContentMarkingHeaderFontProps">
    <vt:lpwstr>#000000,12,Calibri</vt:lpwstr>
  </property>
  <property fmtid="{D5CDD505-2E9C-101B-9397-08002B2CF9AE}" pid="15" name="ClassificationContentMarkingHeaderText">
    <vt:lpwstr>Unclassified - Non-Classifié</vt:lpwstr>
  </property>
  <property fmtid="{D5CDD505-2E9C-101B-9397-08002B2CF9AE}" pid="16" name="MSIP_Label_4e6cdb53-fd15-486d-84de-c510e3a62203_Enabled">
    <vt:lpwstr>true</vt:lpwstr>
  </property>
  <property fmtid="{D5CDD505-2E9C-101B-9397-08002B2CF9AE}" pid="17" name="MSIP_Label_4e6cdb53-fd15-486d-84de-c510e3a62203_SetDate">
    <vt:lpwstr>2025-07-09T16:47:45Z</vt:lpwstr>
  </property>
  <property fmtid="{D5CDD505-2E9C-101B-9397-08002B2CF9AE}" pid="18" name="MSIP_Label_4e6cdb53-fd15-486d-84de-c510e3a62203_Method">
    <vt:lpwstr>Standard</vt:lpwstr>
  </property>
  <property fmtid="{D5CDD505-2E9C-101B-9397-08002B2CF9AE}" pid="19" name="MSIP_Label_4e6cdb53-fd15-486d-84de-c510e3a62203_Name">
    <vt:lpwstr>UNCLASSIFIED - NON-CLASSIFIÉ</vt:lpwstr>
  </property>
  <property fmtid="{D5CDD505-2E9C-101B-9397-08002B2CF9AE}" pid="20" name="MSIP_Label_4e6cdb53-fd15-486d-84de-c510e3a62203_SiteId">
    <vt:lpwstr>1594fdae-a1d9-4405-915d-011467234338</vt:lpwstr>
  </property>
  <property fmtid="{D5CDD505-2E9C-101B-9397-08002B2CF9AE}" pid="21" name="MSIP_Label_4e6cdb53-fd15-486d-84de-c510e3a62203_ActionId">
    <vt:lpwstr>1bc78c33-fb79-49d4-b6d4-7d898b69c8fe</vt:lpwstr>
  </property>
  <property fmtid="{D5CDD505-2E9C-101B-9397-08002B2CF9AE}" pid="22" name="MSIP_Label_4e6cdb53-fd15-486d-84de-c510e3a62203_ContentBits">
    <vt:lpwstr>1</vt:lpwstr>
  </property>
</Properties>
</file>